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702</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03 июля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3 Нефтеюганского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Утагулова</w:t>
      </w:r>
      <w:r>
        <w:rPr>
          <w:rFonts w:ascii="Times New Roman" w:eastAsia="Times New Roman" w:hAnsi="Times New Roman" w:cs="Times New Roman"/>
          <w:sz w:val="28"/>
          <w:szCs w:val="28"/>
        </w:rPr>
        <w:t xml:space="preserve"> Руслана </w:t>
      </w:r>
      <w:r>
        <w:rPr>
          <w:rFonts w:ascii="Times New Roman" w:eastAsia="Times New Roman" w:hAnsi="Times New Roman" w:cs="Times New Roman"/>
          <w:sz w:val="28"/>
          <w:szCs w:val="28"/>
        </w:rPr>
        <w:t>Камилевича</w:t>
      </w:r>
      <w:r>
        <w:rPr>
          <w:rFonts w:ascii="Times New Roman" w:eastAsia="Times New Roman" w:hAnsi="Times New Roman" w:cs="Times New Roman"/>
          <w:sz w:val="28"/>
          <w:szCs w:val="28"/>
        </w:rPr>
        <w:t xml:space="preserve">, </w:t>
      </w:r>
      <w:r>
        <w:rPr>
          <w:rStyle w:val="cat-PassportDatagrp-1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аботающего</w:t>
      </w:r>
      <w:r>
        <w:rPr>
          <w:rFonts w:ascii="Times New Roman" w:eastAsia="Times New Roman" w:hAnsi="Times New Roman" w:cs="Times New Roman"/>
          <w:sz w:val="28"/>
          <w:szCs w:val="28"/>
        </w:rPr>
        <w:t xml:space="preserve"> в </w:t>
      </w:r>
      <w:r>
        <w:rPr>
          <w:rStyle w:val="cat-OrganizationNamegrp-19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зам.начальник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ЦКРС2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3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дительское удостоверение: </w:t>
      </w:r>
      <w:r>
        <w:rPr>
          <w:rStyle w:val="cat-ExternalSystemDefinedgrp-31rplc-10"/>
          <w:rFonts w:ascii="Times New Roman" w:eastAsia="Times New Roman" w:hAnsi="Times New Roman" w:cs="Times New Roman"/>
          <w:sz w:val="28"/>
          <w:szCs w:val="28"/>
        </w:rPr>
        <w:t>...</w:t>
      </w:r>
      <w:r>
        <w:rPr>
          <w:rStyle w:val="cat-ExternalSystemDefinedgrp-32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03.05.2024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711 </w:t>
      </w:r>
      <w:r>
        <w:rPr>
          <w:rFonts w:ascii="Times New Roman" w:eastAsia="Times New Roman" w:hAnsi="Times New Roman" w:cs="Times New Roman"/>
          <w:sz w:val="28"/>
          <w:szCs w:val="28"/>
        </w:rPr>
        <w:t xml:space="preserve">км а/д </w:t>
      </w:r>
      <w:r>
        <w:rPr>
          <w:rFonts w:ascii="Times New Roman" w:eastAsia="Times New Roman" w:hAnsi="Times New Roman" w:cs="Times New Roman"/>
          <w:sz w:val="28"/>
          <w:szCs w:val="28"/>
        </w:rPr>
        <w:t>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2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4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3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легкового транспортного средства, допустил выезд на полосу дороги, </w:t>
      </w:r>
      <w:r>
        <w:rPr>
          <w:rFonts w:ascii="Times New Roman" w:eastAsia="Times New Roman" w:hAnsi="Times New Roman" w:cs="Times New Roman"/>
          <w:sz w:val="28"/>
          <w:szCs w:val="28"/>
        </w:rPr>
        <w:t>предназначенную для встречного движения</w:t>
      </w:r>
      <w:r>
        <w:rPr>
          <w:rFonts w:ascii="Times New Roman" w:eastAsia="Times New Roman" w:hAnsi="Times New Roman" w:cs="Times New Roman"/>
          <w:sz w:val="28"/>
          <w:szCs w:val="28"/>
        </w:rPr>
        <w:t xml:space="preserve"> в зоне действия дорожного знака 3.20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бгон запрещен»</w:t>
      </w:r>
      <w:r>
        <w:rPr>
          <w:rFonts w:ascii="Times New Roman" w:eastAsia="Times New Roman" w:hAnsi="Times New Roman" w:cs="Times New Roman"/>
          <w:sz w:val="28"/>
          <w:szCs w:val="28"/>
        </w:rPr>
        <w:t xml:space="preserve">, с пересечением горизонтальной </w:t>
      </w:r>
      <w:r>
        <w:rPr>
          <w:rFonts w:ascii="Times New Roman" w:eastAsia="Times New Roman" w:hAnsi="Times New Roman" w:cs="Times New Roman"/>
          <w:sz w:val="28"/>
          <w:szCs w:val="28"/>
        </w:rPr>
        <w:t xml:space="preserve">разметки </w:t>
      </w: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п. 9.1.1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 xml:space="preserve"> Р.К. вину в совершении административного правонарушения признал полностью.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Утагулова</w:t>
      </w:r>
      <w:r>
        <w:rPr>
          <w:rFonts w:ascii="Times New Roman" w:eastAsia="Times New Roman" w:hAnsi="Times New Roman" w:cs="Times New Roman"/>
          <w:sz w:val="28"/>
          <w:szCs w:val="28"/>
        </w:rPr>
        <w:t xml:space="preserve"> Р.К.,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Утагулова</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58</w:t>
      </w:r>
      <w:r>
        <w:rPr>
          <w:rStyle w:val="cat-ExternalSystemDefinedgrp-31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03.05.2024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03.05.2024 в 07:35, на 711 км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2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4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3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обгона легкового транспортного средства, допустил выезд на полосу дороги, предназначенную для встречного движения в зоне действия дорожного знака 3.20 «Обгон запрещен», с пересечением горизонтальной разметки 1.1</w:t>
      </w:r>
      <w:r>
        <w:rPr>
          <w:rFonts w:ascii="Times New Roman" w:eastAsia="Times New Roman" w:hAnsi="Times New Roman" w:cs="Times New Roman"/>
          <w:sz w:val="28"/>
          <w:szCs w:val="28"/>
        </w:rPr>
        <w:t>, чем нарушил п.1.3, п.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схемой места совершения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03.05.2024 в 07:35, на 711 км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CarMakeModelgrp-22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4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3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обгона легкового транспортного средства, допустил выезд на полосу дороги, предназначенную для встречного движения в зоне действия дорожного знака 3.20 «Обгон запрещен», с пересечением горизонтальной разметки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зам. командира взвода №2 роты №2 </w:t>
      </w:r>
      <w:r>
        <w:rPr>
          <w:rFonts w:ascii="Times New Roman" w:eastAsia="Times New Roman" w:hAnsi="Times New Roman" w:cs="Times New Roman"/>
          <w:sz w:val="28"/>
          <w:szCs w:val="28"/>
        </w:rPr>
        <w:t xml:space="preserve">ОБ ДПС ГИБДД УМВД России </w:t>
      </w:r>
      <w:r>
        <w:rPr>
          <w:rFonts w:ascii="Times New Roman" w:eastAsia="Times New Roman" w:hAnsi="Times New Roman" w:cs="Times New Roman"/>
          <w:sz w:val="28"/>
          <w:szCs w:val="28"/>
        </w:rPr>
        <w:t>по ХМАО-Югре</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 xml:space="preserve">03.05.2024 в 07:35, на 711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22rplc-4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4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3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обгона легкового транспортного средства, допустил выезд на полосу дороги, предназначенную для встречного движения в зоне действия дорожного знака 3.20 «Обгон запрещен», с пересечением горизонтальной разметки 1.1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вышеуказанном участке автодороги. </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w:t>
      </w:r>
      <w:r>
        <w:rPr>
          <w:rFonts w:ascii="Times New Roman" w:eastAsia="Times New Roman" w:hAnsi="Times New Roman" w:cs="Times New Roman"/>
          <w:sz w:val="28"/>
          <w:szCs w:val="28"/>
        </w:rPr>
        <w:t xml:space="preserve">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w:t>
      </w:r>
      <w:hyperlink r:id="rId4"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Приложения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4" w:anchor="/document/1305770/entry/10911"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движени</w:t>
      </w:r>
      <w:r>
        <w:rPr>
          <w:rFonts w:ascii="Times New Roman" w:eastAsia="Times New Roman" w:hAnsi="Times New Roman" w:cs="Times New Roman"/>
          <w:sz w:val="28"/>
          <w:szCs w:val="28"/>
        </w:rPr>
        <w:t>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w:t>
      </w:r>
      <w:r>
        <w:rPr>
          <w:rFonts w:ascii="Times New Roman" w:eastAsia="Times New Roman" w:hAnsi="Times New Roman" w:cs="Times New Roman"/>
          <w:sz w:val="28"/>
          <w:szCs w:val="28"/>
        </w:rPr>
        <w:t>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8" w:firstLine="567"/>
        <w:jc w:val="both"/>
        <w:rPr>
          <w:sz w:val="28"/>
          <w:szCs w:val="28"/>
        </w:rPr>
      </w:pPr>
      <w:r>
        <w:rPr>
          <w:sz w:val="28"/>
          <w:szCs w:val="28"/>
        </w:rPr>
        <w:tab/>
      </w:r>
      <w:r>
        <w:rPr>
          <w:rFonts w:ascii="Times New Roman" w:eastAsia="Times New Roman" w:hAnsi="Times New Roman" w:cs="Times New Roman"/>
          <w:sz w:val="28"/>
          <w:szCs w:val="28"/>
        </w:rPr>
        <w:t xml:space="preserve">В силу разъяснений, изложенных в </w:t>
      </w:r>
      <w:hyperlink r:id="rId5" w:history="1">
        <w:r>
          <w:rPr>
            <w:rFonts w:ascii="Times New Roman" w:eastAsia="Times New Roman" w:hAnsi="Times New Roman" w:cs="Times New Roman"/>
            <w:color w:val="0000EE"/>
            <w:sz w:val="28"/>
            <w:szCs w:val="28"/>
          </w:rPr>
          <w:t>подпункте "а" пункта 15</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6" w:history="1">
        <w:r>
          <w:rPr>
            <w:rFonts w:ascii="Times New Roman" w:eastAsia="Times New Roman" w:hAnsi="Times New Roman" w:cs="Times New Roman"/>
            <w:color w:val="0000EE"/>
            <w:sz w:val="28"/>
            <w:szCs w:val="28"/>
          </w:rPr>
          <w:t>пункт 1.2</w:t>
        </w:r>
      </w:hyperlink>
      <w:r>
        <w:rPr>
          <w:rFonts w:ascii="Times New Roman" w:eastAsia="Times New Roman" w:hAnsi="Times New Roman" w:cs="Times New Roman"/>
          <w:sz w:val="28"/>
          <w:szCs w:val="28"/>
        </w:rPr>
        <w:t xml:space="preserve"> Правил), которые квалифицируются по </w:t>
      </w:r>
      <w:hyperlink r:id="rId7" w:history="1">
        <w:r>
          <w:rPr>
            <w:rFonts w:ascii="Times New Roman" w:eastAsia="Times New Roman" w:hAnsi="Times New Roman" w:cs="Times New Roman"/>
            <w:color w:val="0000EE"/>
            <w:sz w:val="28"/>
            <w:szCs w:val="28"/>
          </w:rPr>
          <w:t>части 3 данной статьи</w:t>
        </w:r>
      </w:hyperlink>
      <w:r>
        <w:rPr>
          <w:rFonts w:ascii="Times New Roman" w:eastAsia="Times New Roman" w:hAnsi="Times New Roman" w:cs="Times New Roman"/>
          <w:sz w:val="28"/>
          <w:szCs w:val="28"/>
        </w:rPr>
        <w:t xml:space="preserve">), подлежат квалификации по </w:t>
      </w:r>
      <w:hyperlink r:id="rId8" w:history="1">
        <w:r>
          <w:rPr>
            <w:rFonts w:ascii="Times New Roman" w:eastAsia="Times New Roman" w:hAnsi="Times New Roman" w:cs="Times New Roman"/>
            <w:color w:val="0000EE"/>
            <w:sz w:val="28"/>
            <w:szCs w:val="28"/>
          </w:rPr>
          <w:t>части 4 статьи 12.15</w:t>
        </w:r>
      </w:hyperlink>
      <w:r>
        <w:rPr>
          <w:rFonts w:ascii="Times New Roman" w:eastAsia="Times New Roman" w:hAnsi="Times New Roman" w:cs="Times New Roman"/>
          <w:sz w:val="28"/>
          <w:szCs w:val="28"/>
        </w:rPr>
        <w:t xml:space="preserve"> КоАП РФ. Непосредственно такие требования </w:t>
      </w:r>
      <w:hyperlink r:id="rId9"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0" w:history="1">
        <w:r>
          <w:rPr>
            <w:rFonts w:ascii="Times New Roman" w:eastAsia="Times New Roman" w:hAnsi="Times New Roman" w:cs="Times New Roman"/>
            <w:color w:val="0000EE"/>
            <w:sz w:val="28"/>
            <w:szCs w:val="28"/>
          </w:rPr>
          <w:t>пункт 9.1 (1)</w:t>
        </w:r>
      </w:hyperlink>
      <w:r>
        <w:rPr>
          <w:rFonts w:ascii="Times New Roman" w:eastAsia="Times New Roman" w:hAnsi="Times New Roman" w:cs="Times New Roman"/>
          <w:sz w:val="28"/>
          <w:szCs w:val="28"/>
        </w:rPr>
        <w:t xml:space="preserve"> Правил).</w:t>
      </w:r>
    </w:p>
    <w:p>
      <w:pPr>
        <w:spacing w:before="0" w:after="0"/>
        <w:ind w:right="26" w:firstLine="567"/>
        <w:jc w:val="both"/>
        <w:rPr>
          <w:sz w:val="28"/>
          <w:szCs w:val="28"/>
        </w:rPr>
      </w:pPr>
      <w:r>
        <w:rPr>
          <w:sz w:val="28"/>
          <w:szCs w:val="28"/>
        </w:rPr>
        <w:tab/>
      </w: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Утагуловым</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при совершении обгона требований дорожного знака 3.20, в совокупности с выездом на полосу дороги, предназначенную для встречного движения, которая разделена разметкой 1.1,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Утагулова</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Утагулова</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Утагулов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Утагулова</w:t>
      </w:r>
      <w:r>
        <w:rPr>
          <w:rFonts w:ascii="Times New Roman" w:eastAsia="Times New Roman" w:hAnsi="Times New Roman" w:cs="Times New Roman"/>
          <w:sz w:val="28"/>
          <w:szCs w:val="28"/>
        </w:rPr>
        <w:t xml:space="preserve"> Руслана </w:t>
      </w:r>
      <w:r>
        <w:rPr>
          <w:rFonts w:ascii="Times New Roman" w:eastAsia="Times New Roman" w:hAnsi="Times New Roman" w:cs="Times New Roman"/>
          <w:sz w:val="28"/>
          <w:szCs w:val="28"/>
        </w:rPr>
        <w:t>Камилевича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 xml:space="preserve">03100643000000018700, Получатель УФК по ХМАО-Югре (УМВД России по ХМАО-Югре) </w:t>
      </w:r>
      <w:r>
        <w:rPr>
          <w:rStyle w:val="cat-OrganizationNamegrp-20rplc-6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ИНН 8601010390 КПП </w:t>
      </w:r>
      <w:r>
        <w:rPr>
          <w:rFonts w:ascii="Times New Roman" w:eastAsia="Times New Roman" w:hAnsi="Times New Roman" w:cs="Times New Roman"/>
          <w:sz w:val="28"/>
          <w:szCs w:val="28"/>
        </w:rPr>
        <w:t>860101</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910</w:t>
      </w:r>
      <w:r>
        <w:rPr>
          <w:rFonts w:ascii="Times New Roman" w:eastAsia="Times New Roman" w:hAnsi="Times New Roman" w:cs="Times New Roman"/>
          <w:sz w:val="28"/>
          <w:szCs w:val="28"/>
        </w:rPr>
        <w:t>207828</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 xml:space="preserve">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w:t>
      </w:r>
      <w:r>
        <w:rPr>
          <w:rFonts w:ascii="Times New Roman" w:eastAsia="Times New Roman" w:hAnsi="Times New Roman" w:cs="Times New Roman"/>
          <w:sz w:val="28"/>
          <w:szCs w:val="28"/>
        </w:rPr>
        <w:t>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8rplc-6">
    <w:name w:val="cat-PassportData grp-18 rplc-6"/>
    <w:basedOn w:val="DefaultParagraphFont"/>
  </w:style>
  <w:style w:type="character" w:customStyle="1" w:styleId="cat-OrganizationNamegrp-19rplc-7">
    <w:name w:val="cat-OrganizationName grp-19 rplc-7"/>
    <w:basedOn w:val="DefaultParagraphFont"/>
  </w:style>
  <w:style w:type="character" w:customStyle="1" w:styleId="cat-UserDefinedgrp-33rplc-8">
    <w:name w:val="cat-UserDefined grp-33 rplc-8"/>
    <w:basedOn w:val="DefaultParagraphFont"/>
  </w:style>
  <w:style w:type="character" w:customStyle="1" w:styleId="cat-ExternalSystemDefinedgrp-31rplc-10">
    <w:name w:val="cat-ExternalSystemDefined grp-31 rplc-10"/>
    <w:basedOn w:val="DefaultParagraphFont"/>
  </w:style>
  <w:style w:type="character" w:customStyle="1" w:styleId="cat-ExternalSystemDefinedgrp-32rplc-12">
    <w:name w:val="cat-ExternalSystemDefined grp-32 rplc-12"/>
    <w:basedOn w:val="DefaultParagraphFont"/>
  </w:style>
  <w:style w:type="character" w:customStyle="1" w:styleId="cat-CarMakeModelgrp-22rplc-17">
    <w:name w:val="cat-CarMakeModel grp-22 rplc-17"/>
    <w:basedOn w:val="DefaultParagraphFont"/>
  </w:style>
  <w:style w:type="character" w:customStyle="1" w:styleId="cat-UserDefinedgrp-34rplc-18">
    <w:name w:val="cat-UserDefined grp-34 rplc-18"/>
    <w:basedOn w:val="DefaultParagraphFont"/>
  </w:style>
  <w:style w:type="character" w:customStyle="1" w:styleId="cat-CarNumbergrp-23rplc-19">
    <w:name w:val="cat-CarNumber grp-23 rplc-19"/>
    <w:basedOn w:val="DefaultParagraphFont"/>
  </w:style>
  <w:style w:type="character" w:customStyle="1" w:styleId="cat-ExternalSystemDefinedgrp-31rplc-24">
    <w:name w:val="cat-ExternalSystemDefined grp-31 rplc-24"/>
    <w:basedOn w:val="DefaultParagraphFont"/>
  </w:style>
  <w:style w:type="character" w:customStyle="1" w:styleId="cat-CarMakeModelgrp-22rplc-31">
    <w:name w:val="cat-CarMakeModel grp-22 rplc-31"/>
    <w:basedOn w:val="DefaultParagraphFont"/>
  </w:style>
  <w:style w:type="character" w:customStyle="1" w:styleId="cat-UserDefinedgrp-34rplc-32">
    <w:name w:val="cat-UserDefined grp-34 rplc-32"/>
    <w:basedOn w:val="DefaultParagraphFont"/>
  </w:style>
  <w:style w:type="character" w:customStyle="1" w:styleId="cat-CarNumbergrp-23rplc-33">
    <w:name w:val="cat-CarNumber grp-23 rplc-33"/>
    <w:basedOn w:val="DefaultParagraphFont"/>
  </w:style>
  <w:style w:type="character" w:customStyle="1" w:styleId="cat-CarMakeModelgrp-22rplc-39">
    <w:name w:val="cat-CarMakeModel grp-22 rplc-39"/>
    <w:basedOn w:val="DefaultParagraphFont"/>
  </w:style>
  <w:style w:type="character" w:customStyle="1" w:styleId="cat-UserDefinedgrp-34rplc-40">
    <w:name w:val="cat-UserDefined grp-34 rplc-40"/>
    <w:basedOn w:val="DefaultParagraphFont"/>
  </w:style>
  <w:style w:type="character" w:customStyle="1" w:styleId="cat-CarNumbergrp-23rplc-41">
    <w:name w:val="cat-CarNumber grp-23 rplc-41"/>
    <w:basedOn w:val="DefaultParagraphFont"/>
  </w:style>
  <w:style w:type="character" w:customStyle="1" w:styleId="cat-CarMakeModelgrp-22rplc-47">
    <w:name w:val="cat-CarMakeModel grp-22 rplc-47"/>
    <w:basedOn w:val="DefaultParagraphFont"/>
  </w:style>
  <w:style w:type="character" w:customStyle="1" w:styleId="cat-UserDefinedgrp-34rplc-48">
    <w:name w:val="cat-UserDefined grp-34 rplc-48"/>
    <w:basedOn w:val="DefaultParagraphFont"/>
  </w:style>
  <w:style w:type="character" w:customStyle="1" w:styleId="cat-CarNumbergrp-23rplc-49">
    <w:name w:val="cat-CarNumber grp-23 rplc-49"/>
    <w:basedOn w:val="DefaultParagraphFont"/>
  </w:style>
  <w:style w:type="character" w:customStyle="1" w:styleId="cat-OrganizationNamegrp-20rplc-60">
    <w:name w:val="cat-OrganizationName grp-20 rplc-60"/>
    <w:basedOn w:val="DefaultParagraphFont"/>
  </w:style>
  <w:style w:type="character" w:customStyle="1" w:styleId="cat-UserDefinedgrp-35rplc-68">
    <w:name w:val="cat-UserDefined grp-35 rplc-68"/>
    <w:basedOn w:val="DefaultParagraphFont"/>
  </w:style>
  <w:style w:type="character" w:customStyle="1" w:styleId="cat-UserDefinedgrp-36rplc-71">
    <w:name w:val="cat-UserDefined grp-36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28459&amp;dst=377&amp;field=134&amp;date=23.01.2024"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login.consultant.ru/link/?req=doc&amp;demo=2&amp;base=LAW&amp;n=327611&amp;dst=100086&amp;field=134&amp;date=23.01.2024" TargetMode="External" /><Relationship Id="rId6" Type="http://schemas.openxmlformats.org/officeDocument/2006/relationships/hyperlink" Target="https://login.consultant.ru/link/?req=doc&amp;demo=2&amp;base=LAW&amp;n=428459&amp;dst=100020&amp;field=134&amp;date=23.01.2024" TargetMode="External" /><Relationship Id="rId7" Type="http://schemas.openxmlformats.org/officeDocument/2006/relationships/hyperlink" Target="https://login.consultant.ru/link/?req=doc&amp;demo=2&amp;base=LAW&amp;n=449656&amp;dst=3867&amp;field=134&amp;date=23.01.2024" TargetMode="External" /><Relationship Id="rId8" Type="http://schemas.openxmlformats.org/officeDocument/2006/relationships/hyperlink" Target="https://login.consultant.ru/link/?req=doc&amp;demo=2&amp;base=LAW&amp;n=449656&amp;dst=2255&amp;field=134&amp;date=23.01.2024" TargetMode="External" /><Relationship Id="rId9" Type="http://schemas.openxmlformats.org/officeDocument/2006/relationships/hyperlink" Target="https://login.consultant.ru/link/?req=doc&amp;demo=2&amp;base=LAW&amp;n=428459&amp;dst=100015&amp;field=134&amp;date=23.01.2024"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